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9650" w14:textId="2F5FE33B" w:rsidR="00D61805" w:rsidRPr="00D97256" w:rsidRDefault="009F596A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B050"/>
          <w:sz w:val="24"/>
          <w:szCs w:val="24"/>
          <w:lang w:val="es-ES_tradnl"/>
        </w:rPr>
      </w:pP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Cuadro 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para </w:t>
      </w: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>re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>co</w:t>
      </w:r>
      <w:r w:rsidR="003572E1">
        <w:rPr>
          <w:rFonts w:cs="Arial"/>
          <w:b/>
          <w:bCs/>
          <w:color w:val="00B050"/>
          <w:sz w:val="24"/>
          <w:szCs w:val="24"/>
          <w:lang w:val="es-ES_tradnl"/>
        </w:rPr>
        <w:t>pilar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comentarios durante la consulta de </w:t>
      </w:r>
      <w:r w:rsidR="007D4AEB" w:rsidRPr="00D97256">
        <w:rPr>
          <w:rFonts w:cs="Arial"/>
          <w:b/>
          <w:bCs/>
          <w:color w:val="00B050"/>
          <w:sz w:val="24"/>
          <w:szCs w:val="24"/>
          <w:lang w:val="es-ES_tradnl"/>
        </w:rPr>
        <w:t>país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</w:t>
      </w:r>
    </w:p>
    <w:p w14:paraId="5C6D5C9E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lang w:val="es-ES_tradnl"/>
        </w:rPr>
      </w:pPr>
    </w:p>
    <w:p w14:paraId="296B8924" w14:textId="4EDB42BB" w:rsidR="000E7B04" w:rsidRPr="00D97256" w:rsidRDefault="009F596A" w:rsidP="005836BA">
      <w:pPr>
        <w:spacing w:after="0"/>
        <w:jc w:val="center"/>
        <w:rPr>
          <w:rFonts w:cstheme="minorHAnsi"/>
          <w:sz w:val="28"/>
          <w:szCs w:val="28"/>
          <w:lang w:val="es-ES_tradnl"/>
        </w:rPr>
      </w:pPr>
      <w:r w:rsidRPr="00D97256">
        <w:rPr>
          <w:rFonts w:cstheme="minorHAnsi"/>
          <w:b/>
          <w:bCs/>
          <w:sz w:val="28"/>
          <w:szCs w:val="28"/>
          <w:lang w:val="es-ES_tradnl"/>
        </w:rPr>
        <w:t xml:space="preserve">NORMA REGIONAL DE LA NAPPO SOBRE MEDIDAS FITOSANITARIAS </w:t>
      </w:r>
      <w:r w:rsidR="00205F8F">
        <w:rPr>
          <w:rFonts w:cstheme="minorHAnsi"/>
          <w:b/>
          <w:bCs/>
          <w:sz w:val="28"/>
          <w:szCs w:val="28"/>
          <w:lang w:val="es-ES_tradnl"/>
        </w:rPr>
        <w:t>22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 xml:space="preserve"> (NRMF </w:t>
      </w:r>
      <w:r w:rsidR="00205F8F">
        <w:rPr>
          <w:rFonts w:cstheme="minorHAnsi"/>
          <w:b/>
          <w:bCs/>
          <w:sz w:val="28"/>
          <w:szCs w:val="28"/>
          <w:lang w:val="es-ES_tradnl"/>
        </w:rPr>
        <w:t>22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>)</w:t>
      </w:r>
    </w:p>
    <w:p w14:paraId="28D4D705" w14:textId="0782AD4E" w:rsidR="005836BA" w:rsidRPr="00205F8F" w:rsidRDefault="00205F8F" w:rsidP="002F05B2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  <w:lang w:val="es-ES_tradnl"/>
        </w:rPr>
      </w:pPr>
      <w:r w:rsidRPr="00205F8F">
        <w:rPr>
          <w:rFonts w:cstheme="minorHAnsi"/>
          <w:b/>
          <w:bCs/>
          <w:i/>
          <w:iCs/>
          <w:sz w:val="28"/>
          <w:szCs w:val="28"/>
          <w:lang w:val="es-ES_tradnl"/>
        </w:rPr>
        <w:t>Directrices para la construcción y operación de una instalación de contención para insectos y ácaros que se utilizan como agentes de control biológico</w:t>
      </w:r>
    </w:p>
    <w:p w14:paraId="7151A7C4" w14:textId="08499590" w:rsidR="007B7281" w:rsidRPr="00D97256" w:rsidRDefault="007B7281" w:rsidP="00D61805">
      <w:pPr>
        <w:spacing w:after="0"/>
        <w:jc w:val="center"/>
        <w:rPr>
          <w:b/>
          <w:sz w:val="28"/>
          <w:szCs w:val="28"/>
          <w:lang w:val="es-ES_tradnl"/>
        </w:rPr>
      </w:pPr>
    </w:p>
    <w:p w14:paraId="59085BFB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B050"/>
          <w:sz w:val="24"/>
          <w:szCs w:val="24"/>
          <w:lang w:val="es-ES_tradnl"/>
        </w:rPr>
      </w:pPr>
    </w:p>
    <w:p w14:paraId="30BDA100" w14:textId="05B065F6" w:rsidR="00D61805" w:rsidRPr="00D97256" w:rsidRDefault="00D97256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2F05B2" w:rsidRPr="00D97256">
        <w:rPr>
          <w:rFonts w:cs="Arial"/>
          <w:color w:val="000000"/>
          <w:sz w:val="24"/>
          <w:szCs w:val="24"/>
          <w:lang w:val="es-ES_tradnl"/>
        </w:rPr>
        <w:t xml:space="preserve"> u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>tilice est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para anotar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y brindar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comentarios. </w:t>
      </w:r>
    </w:p>
    <w:p w14:paraId="515B1147" w14:textId="65DAFEEA" w:rsidR="00C75B58" w:rsidRPr="00D97256" w:rsidRDefault="00D97256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lea las instrucciones para utiliz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el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antes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empezar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a anotar sus comentarios. </w:t>
      </w:r>
    </w:p>
    <w:p w14:paraId="51ECE04E" w14:textId="4BE81681" w:rsidR="00D61805" w:rsidRPr="00D97256" w:rsidRDefault="0067603E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La modalidad del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 cuadro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facilita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recopilación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todos los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comentarios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F262D3">
        <w:rPr>
          <w:rFonts w:cs="Arial"/>
          <w:color w:val="000000"/>
          <w:sz w:val="24"/>
          <w:szCs w:val="24"/>
          <w:lang w:val="es-ES_tradnl"/>
        </w:rPr>
        <w:t xml:space="preserve">que reciban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los Grupos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</w:t>
      </w:r>
      <w:r w:rsidRPr="00D97256">
        <w:rPr>
          <w:rFonts w:cs="Arial"/>
          <w:color w:val="000000"/>
          <w:sz w:val="24"/>
          <w:szCs w:val="24"/>
          <w:lang w:val="es-ES_tradnl"/>
        </w:rPr>
        <w:t>xpertos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, el Comité Consultivo y de Manejo (CCM)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así como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de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Secretar</w:t>
      </w:r>
      <w:r w:rsidR="007D4AEB" w:rsidRPr="00D97256">
        <w:rPr>
          <w:rFonts w:cstheme="minorHAnsi"/>
          <w:color w:val="000000"/>
          <w:sz w:val="24"/>
          <w:szCs w:val="24"/>
          <w:lang w:val="es-ES_tradnl"/>
        </w:rPr>
        <w:t>í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la NAPPO. </w:t>
      </w:r>
    </w:p>
    <w:p w14:paraId="2B757D23" w14:textId="3D2A5AE6" w:rsidR="00C75B58" w:rsidRPr="00D97256" w:rsidRDefault="0067603E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Consulte el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cuadro con los detalles de la persona de contacto en su país (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en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subpágina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consulta de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país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en el sitio web de la NAPPO)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para asegurarse que sepa quién debe recibir los comentarios, así como su dirección electrónica y número de teléfono. </w:t>
      </w:r>
    </w:p>
    <w:p w14:paraId="0765F0C6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highlight w:val="yellow"/>
          <w:lang w:val="es-ES_tradnl"/>
        </w:rPr>
      </w:pPr>
    </w:p>
    <w:p w14:paraId="6CD286A3" w14:textId="0FCB939C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n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ombre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</w:t>
      </w:r>
    </w:p>
    <w:p w14:paraId="63840995" w14:textId="2271C8BE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c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argo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------------------------------------------------</w:t>
      </w:r>
    </w:p>
    <w:p w14:paraId="5B708865" w14:textId="4C956B7B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Su </w:t>
      </w:r>
      <w:r w:rsidR="009026F7" w:rsidRPr="00D97256">
        <w:rPr>
          <w:rFonts w:cs="Arial"/>
          <w:color w:val="000000"/>
          <w:sz w:val="24"/>
          <w:szCs w:val="24"/>
          <w:lang w:val="es-ES_tradnl"/>
        </w:rPr>
        <w:t>país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</w:t>
      </w:r>
    </w:p>
    <w:p w14:paraId="072D80C8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</w:p>
    <w:tbl>
      <w:tblPr>
        <w:tblStyle w:val="TableGrid"/>
        <w:tblW w:w="13190" w:type="dxa"/>
        <w:tblInd w:w="0" w:type="dxa"/>
        <w:tblLook w:val="04A0" w:firstRow="1" w:lastRow="0" w:firstColumn="1" w:lastColumn="0" w:noHBand="0" w:noVBand="1"/>
      </w:tblPr>
      <w:tblGrid>
        <w:gridCol w:w="3378"/>
        <w:gridCol w:w="1854"/>
        <w:gridCol w:w="1683"/>
        <w:gridCol w:w="1774"/>
        <w:gridCol w:w="1296"/>
        <w:gridCol w:w="10"/>
        <w:gridCol w:w="2235"/>
        <w:gridCol w:w="1285"/>
      </w:tblGrid>
      <w:tr w:rsidR="008B7C42" w:rsidRPr="00D97256" w14:paraId="08148EDA" w14:textId="77777777" w:rsidTr="007916A8"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02D5BD21" w:rsidR="00D61805" w:rsidRPr="00D97256" w:rsidRDefault="008B7C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Utilice estas columnas para anotar sus comentarios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3CE61BA5" w:rsidR="00D61805" w:rsidRPr="00D97256" w:rsidRDefault="005836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Dejar estas en blanco</w:t>
            </w:r>
          </w:p>
        </w:tc>
      </w:tr>
      <w:tr w:rsidR="008B7C42" w:rsidRPr="00205F8F" w14:paraId="3BD0665D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0C6B368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Apartado del documento</w:t>
            </w:r>
          </w:p>
          <w:p w14:paraId="2FCB426C" w14:textId="06346E7E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1669F52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Tipo de comentario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1CEE01D3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Ubicación precisa – página y n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ú</w:t>
            </w: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mero de renglón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18B25A99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Texto alternativo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1C8BC7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5. E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xplicaci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ó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37AB110B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6.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Aceptado/rechazado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699AEE9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7. 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Si fue rechazado, </w:t>
            </w:r>
            <w:r w:rsidR="007D4AEB" w:rsidRPr="00D97256">
              <w:rPr>
                <w:rFonts w:cstheme="minorHAnsi"/>
                <w:i/>
                <w:iCs/>
                <w:color w:val="000000"/>
                <w:sz w:val="24"/>
                <w:szCs w:val="24"/>
                <w:lang w:val="es-ES_tradnl"/>
              </w:rPr>
              <w:t>¿</w:t>
            </w:r>
            <w:r w:rsidR="007916A8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por qué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?</w:t>
            </w:r>
          </w:p>
        </w:tc>
      </w:tr>
      <w:tr w:rsidR="007B7281" w:rsidRPr="00205F8F" w14:paraId="14EA7F7B" w14:textId="77777777" w:rsidTr="007916A8">
        <w:tc>
          <w:tcPr>
            <w:tcW w:w="13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11A" w14:textId="312D7379" w:rsidR="007B7281" w:rsidRPr="004B1358" w:rsidRDefault="004B1358" w:rsidP="004B1358">
            <w:pPr>
              <w:jc w:val="center"/>
              <w:rPr>
                <w:rFonts w:cstheme="minorHAnsi"/>
                <w:sz w:val="28"/>
                <w:szCs w:val="28"/>
                <w:lang w:val="es-ES_tradnl"/>
              </w:rPr>
            </w:pPr>
            <w:r w:rsidRPr="00D97256"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 xml:space="preserve">NRMF </w:t>
            </w:r>
            <w:r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>22</w:t>
            </w:r>
            <w:r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 xml:space="preserve"> - </w:t>
            </w:r>
            <w:r w:rsidRPr="00205F8F">
              <w:rPr>
                <w:rFonts w:cstheme="minorHAnsi"/>
                <w:b/>
                <w:bCs/>
                <w:i/>
                <w:iCs/>
                <w:sz w:val="28"/>
                <w:szCs w:val="28"/>
                <w:lang w:val="es-ES_tradnl"/>
              </w:rPr>
              <w:t>Directrices para la construcción y operación de una instalación de contención para insectos y ácaros que se utilizan como agentes de control biológico</w:t>
            </w:r>
          </w:p>
        </w:tc>
      </w:tr>
      <w:tr w:rsidR="008B7C42" w:rsidRPr="00D97256" w14:paraId="205883D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2D1DBEA4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Comentarios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FF169C4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218" w14:textId="3CF2FFA4" w:rsidR="00D61805" w:rsidRPr="00D97256" w:rsidRDefault="009F59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theme="minorHAnsi"/>
                <w:color w:val="000000"/>
                <w:sz w:val="24"/>
                <w:szCs w:val="24"/>
                <w:lang w:val="es-ES_tradnl"/>
              </w:rPr>
              <w:t>Á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mbito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75AEC652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50C7C27D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Referenc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ia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581B50C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71" w14:textId="4E98E5D1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Defini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ciones</w:t>
            </w:r>
            <w:r w:rsidR="004B1358">
              <w:rPr>
                <w:rFonts w:cs="Arial"/>
                <w:color w:val="000000"/>
                <w:sz w:val="24"/>
                <w:szCs w:val="24"/>
                <w:lang w:val="es-ES_tradnl"/>
              </w:rPr>
              <w:t>, abreviaturas y siglas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C5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23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E2C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8713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49EC719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C08" w14:textId="3CD5E3A8" w:rsidR="00D61805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Antecedentes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90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C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1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99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94E8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246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098D1CCF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AAE" w14:textId="2F24EC73" w:rsidR="004B1358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Resumen de los requisitos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8E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AC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AB5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4D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7119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9B9AC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205F8F" w14:paraId="35CE7C4D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E6A" w14:textId="5D5F999C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Requisitos</w:t>
            </w:r>
          </w:p>
          <w:p w14:paraId="0ECD7B9B" w14:textId="1D5B678B" w:rsidR="00D61805" w:rsidRPr="00D97256" w:rsidRDefault="004B1358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Físicos (diseño y construcción) – exterior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D2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92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4B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5E479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E1CAA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1C90C5D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A20" w14:textId="4CEDE949" w:rsidR="00111FCE" w:rsidRPr="00D97256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C26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56E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ED1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A76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AC9EF3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A9EF4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034D833C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DCC" w14:textId="611033CC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4A6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078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F1B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B88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22F09D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5626C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206419A7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C15" w14:textId="5A9987B9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476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CB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8FA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D46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D947F2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A9EFD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7D39C1EC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737A" w14:textId="0BC64184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57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921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A9C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D08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3B32B5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52BB0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2CCB3E4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7E5" w14:textId="22B6F098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635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B8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1B1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DD8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D1830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DBF93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4955A3D9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100" w14:textId="4F2E98C0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8AA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1C7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67F8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CA4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5F09B0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034AB3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0BEE19E1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28DF" w14:textId="74F4F840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50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F17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0BA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46D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395708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CC83EE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111FCE" w:rsidRPr="00205F8F" w14:paraId="5E2BF57A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26F" w14:textId="0B8041C5" w:rsidR="00111FCE" w:rsidRDefault="00111FCE" w:rsidP="00111FCE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AE44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B6A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A6C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4B74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8C8026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D17EF" w14:textId="77777777" w:rsidR="00111FCE" w:rsidRPr="00D97256" w:rsidRDefault="00111F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4B1358" w14:paraId="3D19F88B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A8C0" w14:textId="683EF910" w:rsidR="00D61805" w:rsidRPr="00D97256" w:rsidRDefault="004B1358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Físicos (estructuras y equipo) - interior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96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D5F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01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33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8E13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59AA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6E98A82E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4B2" w14:textId="68EE71FB" w:rsidR="00D61805" w:rsidRPr="00D97256" w:rsidRDefault="00D61805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2.1 </w:t>
            </w:r>
            <w:r w:rsidR="004B1358">
              <w:rPr>
                <w:rFonts w:cs="Arial"/>
                <w:color w:val="000000"/>
                <w:sz w:val="24"/>
                <w:szCs w:val="24"/>
                <w:lang w:val="es-ES_tradnl"/>
              </w:rPr>
              <w:t>Superficies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CA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DA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72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BE7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2AF97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B1AF2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6AB51B5C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934" w14:textId="116C28E2" w:rsidR="00D61805" w:rsidRPr="00D97256" w:rsidRDefault="00D61805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2.2 </w:t>
            </w:r>
            <w:r w:rsidR="00111FCE">
              <w:rPr>
                <w:rFonts w:cs="Arial"/>
                <w:color w:val="000000"/>
                <w:sz w:val="24"/>
                <w:szCs w:val="24"/>
                <w:lang w:val="es-ES_tradnl"/>
              </w:rPr>
              <w:t>Coloración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07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9B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92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D1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228F2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DA09C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44EEF5AA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FEE" w14:textId="60F00295" w:rsidR="00D61805" w:rsidRPr="00D97256" w:rsidRDefault="00D61805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2.3 </w:t>
            </w:r>
            <w:r w:rsidR="004B1358">
              <w:rPr>
                <w:rFonts w:cs="Arial"/>
                <w:color w:val="000000"/>
                <w:sz w:val="24"/>
                <w:szCs w:val="24"/>
                <w:lang w:val="es-ES_tradnl"/>
              </w:rPr>
              <w:t>Sellos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62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89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CF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5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26C7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8E3F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1D168621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DBC" w14:textId="492CFB54" w:rsidR="00D61805" w:rsidRPr="00D97256" w:rsidRDefault="00D61805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2.4 </w:t>
            </w:r>
            <w:r w:rsidR="004B1358">
              <w:rPr>
                <w:rFonts w:cs="Arial"/>
                <w:color w:val="000000"/>
                <w:sz w:val="24"/>
                <w:szCs w:val="24"/>
                <w:lang w:val="es-ES_tradnl"/>
              </w:rPr>
              <w:t>Ventanas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89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31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49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8D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91BFC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769A9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155D2B8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3A5" w14:textId="7B67A662" w:rsidR="004B1358" w:rsidRPr="00D97256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2.5 Puertas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84D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F5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FDD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81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6B86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3CA39A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5D87B3C2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122" w14:textId="2552B518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2.6 Lugares de almacenamiento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65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48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79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E3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051B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BF37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70A0AEF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EA0" w14:textId="08380E47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2.7 Trampas de luz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55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26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59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18DA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D497A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88CD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364F434D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26" w14:textId="0627E710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2.8 Jaulas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90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57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1E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B5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218A3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024C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7AB58524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E40" w14:textId="36A768CE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2.9 Vestidor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FB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02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A5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E5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FD78F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17376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7135A7F2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D57" w14:textId="2081EF30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2.10 Generador de electricidad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0F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FA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26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86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AC12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917B5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306599D8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235" w14:textId="70CF2B05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2.11 Sistemas HVAC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E6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6E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47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30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6C9F7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DE98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7E847DD9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FF0" w14:textId="02ACF51C" w:rsidR="004B1358" w:rsidRDefault="00C1689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Consideraciones</w:t>
            </w:r>
            <w:r w:rsidR="004B1358"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 adicionales para invernaderos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53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75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04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48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0A48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737CB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454969FF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BF8" w14:textId="64378C7D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2.12 Autoclaves y congeladores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4A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26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03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C76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9DA11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39038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190EBB1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32F" w14:textId="1B2BE26E" w:rsid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24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2.13 Antesalas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0B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4F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7E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8F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8814C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91239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0D4954D3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765E" w14:textId="2E240C2B" w:rsidR="00D61805" w:rsidRPr="00D97256" w:rsidRDefault="004B1358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Operación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DE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06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0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DF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6164E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9435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61DD08FE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E36" w14:textId="6A0124D7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3.1 Supervisión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3B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2D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AE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82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A6D3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EC5DF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6A6371C6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BA2" w14:textId="1EAE4B9E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3.2 Capacitación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D3A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676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62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4C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68377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4B5E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789659E3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726" w14:textId="16E2E5CB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3.3 Artículos permitidos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CA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AC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1F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9D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9E2A5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CAB53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5874508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E30" w14:textId="1E6C7B68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3.4 Retiro de las instalaciones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55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B7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EB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4F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12C89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A614A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1A25962E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ECB" w14:textId="00D9FE76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3.5 Eliminación/esterilización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EA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18A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49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27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82635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300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1BD9D104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ED8" w14:textId="3B454D75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3.6 Recolección/destrucción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691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EA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83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65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B127C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50D3C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7EB10E2B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7FC" w14:textId="598C0E0F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3.7 Tubería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24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E9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32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84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B593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FAFC6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3C89CE39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4A3" w14:textId="59B50F4C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3.8 Limpieza/descontaminación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B0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867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D9FE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09F3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8044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03D1B26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2B3" w14:textId="72C219C9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3.9 Mantenimiento de registros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F4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89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0E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2E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39791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E809EC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D97256" w14:paraId="09BC2075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295" w14:textId="518EAA1B" w:rsidR="004B1358" w:rsidRDefault="004B1358" w:rsidP="004B135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3.10 Ingreso de envíos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130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E1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7D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5C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96F7F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B4A21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11F27D8F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10A" w14:textId="17E3ADE9" w:rsidR="00D61805" w:rsidRPr="00D97256" w:rsidRDefault="004B1358" w:rsidP="00D618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Seguridad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1A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55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0E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EAF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CCE9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E104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4B1358" w14:paraId="3D6974E9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8B2" w14:textId="1CBEF881" w:rsidR="004B1358" w:rsidRP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4.1 Plan de acción de emergencia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73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D88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87B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3A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A6C3D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B30F9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4B1358" w14:paraId="19F0A7E1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BF0" w14:textId="42AA5DF7" w:rsidR="004B1358" w:rsidRP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4.2 Señalización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FF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9E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8C5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859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2C2C73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20181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4B1358" w:rsidRPr="004B1358" w14:paraId="309EC050" w14:textId="77777777" w:rsidTr="007916A8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E90" w14:textId="36EE73FA" w:rsidR="004B1358" w:rsidRPr="004B1358" w:rsidRDefault="004B1358" w:rsidP="004B1358">
            <w:p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4.3 Procedimientos para el acceso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ECD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9B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FF4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B02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5D9D9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74CB0F" w14:textId="77777777" w:rsidR="004B1358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</w:tbl>
    <w:p w14:paraId="12CD63B6" w14:textId="77777777" w:rsidR="00C06751" w:rsidRPr="00D97256" w:rsidRDefault="00C06751">
      <w:pPr>
        <w:rPr>
          <w:lang w:val="es-ES_tradnl"/>
        </w:rPr>
      </w:pPr>
    </w:p>
    <w:sectPr w:rsidR="00C06751" w:rsidRPr="00D97256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AB72" w14:textId="77777777" w:rsidR="004E7320" w:rsidRDefault="004E7320" w:rsidP="00C75B58">
      <w:pPr>
        <w:spacing w:after="0" w:line="240" w:lineRule="auto"/>
      </w:pPr>
      <w:r>
        <w:separator/>
      </w:r>
    </w:p>
  </w:endnote>
  <w:endnote w:type="continuationSeparator" w:id="0">
    <w:p w14:paraId="5DCC2706" w14:textId="77777777" w:rsidR="004E7320" w:rsidRDefault="004E7320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E6E7" w14:textId="77777777" w:rsidR="004E7320" w:rsidRDefault="004E7320" w:rsidP="00C75B58">
      <w:pPr>
        <w:spacing w:after="0" w:line="240" w:lineRule="auto"/>
      </w:pPr>
      <w:r>
        <w:separator/>
      </w:r>
    </w:p>
  </w:footnote>
  <w:footnote w:type="continuationSeparator" w:id="0">
    <w:p w14:paraId="27310A37" w14:textId="77777777" w:rsidR="004E7320" w:rsidRDefault="004E7320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0E1838"/>
    <w:rsid w:val="000E7B04"/>
    <w:rsid w:val="00111FCE"/>
    <w:rsid w:val="00205F8F"/>
    <w:rsid w:val="002F05B2"/>
    <w:rsid w:val="00316F45"/>
    <w:rsid w:val="003572E1"/>
    <w:rsid w:val="00394747"/>
    <w:rsid w:val="004B1358"/>
    <w:rsid w:val="004E7320"/>
    <w:rsid w:val="0054796E"/>
    <w:rsid w:val="005836BA"/>
    <w:rsid w:val="0067364C"/>
    <w:rsid w:val="0067603E"/>
    <w:rsid w:val="00696AC1"/>
    <w:rsid w:val="006E66D3"/>
    <w:rsid w:val="00762DB5"/>
    <w:rsid w:val="007916A8"/>
    <w:rsid w:val="007A44E4"/>
    <w:rsid w:val="007B7281"/>
    <w:rsid w:val="007C20B1"/>
    <w:rsid w:val="007C5A94"/>
    <w:rsid w:val="007D4AEB"/>
    <w:rsid w:val="00887C43"/>
    <w:rsid w:val="008B7C42"/>
    <w:rsid w:val="008C3EA8"/>
    <w:rsid w:val="009026F7"/>
    <w:rsid w:val="009F596A"/>
    <w:rsid w:val="00BA4A66"/>
    <w:rsid w:val="00BC6C39"/>
    <w:rsid w:val="00C06751"/>
    <w:rsid w:val="00C16898"/>
    <w:rsid w:val="00C75B58"/>
    <w:rsid w:val="00D61805"/>
    <w:rsid w:val="00D97256"/>
    <w:rsid w:val="00EC4C98"/>
    <w:rsid w:val="00F16FF1"/>
    <w:rsid w:val="00F262D3"/>
    <w:rsid w:val="00F41C12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Stephanie Bloem</cp:lastModifiedBy>
  <cp:revision>10</cp:revision>
  <dcterms:created xsi:type="dcterms:W3CDTF">2020-05-29T13:00:00Z</dcterms:created>
  <dcterms:modified xsi:type="dcterms:W3CDTF">2021-04-19T19:36:00Z</dcterms:modified>
</cp:coreProperties>
</file>